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862E" w14:textId="77777777" w:rsidR="00365CB7" w:rsidRPr="00B54D56" w:rsidRDefault="00365CB7">
      <w:pPr>
        <w:rPr>
          <w:b/>
          <w:sz w:val="44"/>
          <w:szCs w:val="44"/>
        </w:rPr>
      </w:pPr>
      <w:r w:rsidRPr="00B54D56">
        <w:rPr>
          <w:b/>
          <w:sz w:val="44"/>
          <w:szCs w:val="44"/>
        </w:rPr>
        <w:t>N</w:t>
      </w:r>
      <w:r w:rsidR="00EE751B" w:rsidRPr="00B54D56">
        <w:rPr>
          <w:b/>
          <w:sz w:val="44"/>
          <w:szCs w:val="44"/>
        </w:rPr>
        <w:t>otice of Availability for Uncompensated Care</w:t>
      </w:r>
    </w:p>
    <w:p w14:paraId="2C367937" w14:textId="77777777" w:rsidR="00B54D56" w:rsidRPr="007447A4" w:rsidRDefault="00B54D56">
      <w:pPr>
        <w:rPr>
          <w:b/>
          <w:sz w:val="22"/>
          <w:szCs w:val="22"/>
        </w:rPr>
      </w:pPr>
    </w:p>
    <w:p w14:paraId="40D4F90A" w14:textId="77777777" w:rsidR="00AA7FF0" w:rsidRPr="007447A4" w:rsidRDefault="00AA7FF0">
      <w:pPr>
        <w:rPr>
          <w:b/>
          <w:sz w:val="22"/>
          <w:szCs w:val="22"/>
        </w:rPr>
      </w:pPr>
    </w:p>
    <w:p w14:paraId="4562C81A" w14:textId="77777777" w:rsidR="00CD2AC3" w:rsidRPr="007447A4" w:rsidRDefault="00CD2AC3" w:rsidP="00EE751B">
      <w:pPr>
        <w:pStyle w:val="BodyText"/>
        <w:rPr>
          <w:b w:val="0"/>
          <w:i w:val="0"/>
          <w:sz w:val="18"/>
          <w:szCs w:val="18"/>
        </w:rPr>
      </w:pPr>
    </w:p>
    <w:p w14:paraId="79A3749E" w14:textId="77777777" w:rsidR="00365CB7" w:rsidRPr="00B54D56" w:rsidRDefault="00EE751B" w:rsidP="00EE751B">
      <w:pPr>
        <w:pStyle w:val="BodyText"/>
        <w:rPr>
          <w:i w:val="0"/>
          <w:sz w:val="28"/>
          <w:szCs w:val="28"/>
        </w:rPr>
      </w:pPr>
      <w:r w:rsidRPr="00B54D56">
        <w:rPr>
          <w:b w:val="0"/>
          <w:i w:val="0"/>
          <w:sz w:val="28"/>
          <w:szCs w:val="28"/>
        </w:rPr>
        <w:t xml:space="preserve">Eastern Connecticut Health Network, Inc. will </w:t>
      </w:r>
      <w:proofErr w:type="gramStart"/>
      <w:r w:rsidRPr="00B54D56">
        <w:rPr>
          <w:b w:val="0"/>
          <w:i w:val="0"/>
          <w:sz w:val="28"/>
          <w:szCs w:val="28"/>
        </w:rPr>
        <w:t>provide assistance for</w:t>
      </w:r>
      <w:proofErr w:type="gramEnd"/>
      <w:r w:rsidRPr="00B54D56">
        <w:rPr>
          <w:b w:val="0"/>
          <w:i w:val="0"/>
          <w:sz w:val="28"/>
          <w:szCs w:val="28"/>
        </w:rPr>
        <w:t xml:space="preserve"> those patients who fall within the guidelines below</w:t>
      </w:r>
      <w:r w:rsidRPr="00B54D56">
        <w:rPr>
          <w:i w:val="0"/>
          <w:sz w:val="28"/>
          <w:szCs w:val="28"/>
        </w:rPr>
        <w:t xml:space="preserve">.  </w:t>
      </w:r>
    </w:p>
    <w:p w14:paraId="0EBDD62D" w14:textId="77777777" w:rsidR="00EE751B" w:rsidRPr="007447A4" w:rsidRDefault="00EE751B" w:rsidP="00EE751B">
      <w:pPr>
        <w:pStyle w:val="BodyText"/>
        <w:rPr>
          <w:b w:val="0"/>
          <w:i w:val="0"/>
          <w:sz w:val="22"/>
          <w:szCs w:val="22"/>
        </w:rPr>
      </w:pPr>
    </w:p>
    <w:p w14:paraId="23CE2ABB" w14:textId="77777777" w:rsidR="00EE751B" w:rsidRPr="00B54D56" w:rsidRDefault="00EE751B" w:rsidP="00EE751B">
      <w:pPr>
        <w:pStyle w:val="BodyText"/>
        <w:rPr>
          <w:b w:val="0"/>
          <w:i w:val="0"/>
          <w:sz w:val="28"/>
          <w:szCs w:val="28"/>
        </w:rPr>
      </w:pPr>
      <w:r w:rsidRPr="00B54D56">
        <w:rPr>
          <w:b w:val="0"/>
          <w:i w:val="0"/>
          <w:sz w:val="28"/>
          <w:szCs w:val="28"/>
        </w:rPr>
        <w:t>To be eligible to receive uncompensated care, your family must be at or below the following current guidelines.</w:t>
      </w:r>
    </w:p>
    <w:p w14:paraId="374A0C1F" w14:textId="77777777" w:rsidR="00365CB7" w:rsidRPr="007447A4" w:rsidRDefault="00365CB7">
      <w:pPr>
        <w:rPr>
          <w:b/>
          <w:sz w:val="22"/>
          <w:szCs w:val="22"/>
        </w:rPr>
      </w:pPr>
    </w:p>
    <w:p w14:paraId="2EBFBFFA" w14:textId="77777777" w:rsidR="00365CB7" w:rsidRPr="00B54D56" w:rsidRDefault="00EE751B">
      <w:pPr>
        <w:rPr>
          <w:b/>
          <w:sz w:val="28"/>
          <w:szCs w:val="28"/>
          <w:u w:val="single"/>
        </w:rPr>
      </w:pPr>
      <w:r w:rsidRPr="00B54D56">
        <w:rPr>
          <w:b/>
          <w:sz w:val="28"/>
          <w:szCs w:val="28"/>
          <w:u w:val="single"/>
        </w:rPr>
        <w:t>Family Gross Income Levels</w:t>
      </w:r>
    </w:p>
    <w:p w14:paraId="0D34B4F0" w14:textId="77777777" w:rsidR="00365CB7" w:rsidRDefault="00365CB7">
      <w:pPr>
        <w:rPr>
          <w:b/>
          <w:u w:val="single"/>
        </w:rPr>
      </w:pPr>
    </w:p>
    <w:tbl>
      <w:tblPr>
        <w:tblW w:w="8184" w:type="dxa"/>
        <w:tblInd w:w="93" w:type="dxa"/>
        <w:tblLook w:val="0000" w:firstRow="0" w:lastRow="0" w:firstColumn="0" w:lastColumn="0" w:noHBand="0" w:noVBand="0"/>
      </w:tblPr>
      <w:tblGrid>
        <w:gridCol w:w="1320"/>
        <w:gridCol w:w="960"/>
        <w:gridCol w:w="960"/>
        <w:gridCol w:w="960"/>
        <w:gridCol w:w="996"/>
        <w:gridCol w:w="996"/>
        <w:gridCol w:w="996"/>
        <w:gridCol w:w="996"/>
      </w:tblGrid>
      <w:tr w:rsidR="002B6DD8" w:rsidRPr="00CD2AC3" w14:paraId="6524DA25" w14:textId="77777777" w:rsidTr="00E830F4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9DE" w14:textId="1DBA6E9D" w:rsidR="002B6DD8" w:rsidRPr="00CD2AC3" w:rsidRDefault="002B6DD8" w:rsidP="002F0B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</w:rPr>
              <w:t xml:space="preserve">  </w:t>
            </w:r>
            <w:r w:rsidR="00B9520A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3F61F3">
              <w:rPr>
                <w:rFonts w:ascii="Arial" w:hAnsi="Arial" w:cs="Arial"/>
                <w:b/>
                <w:bCs/>
                <w:sz w:val="20"/>
              </w:rPr>
              <w:t>5</w:t>
            </w:r>
            <w:r w:rsidR="007650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D2AC3">
              <w:rPr>
                <w:rFonts w:ascii="Arial" w:hAnsi="Arial" w:cs="Arial"/>
                <w:b/>
                <w:bCs/>
                <w:sz w:val="20"/>
              </w:rPr>
              <w:t>Federal Poverty Guidelines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69B5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1958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47F2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D5E0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A65F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8CF7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29C59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400%</w:t>
            </w:r>
          </w:p>
        </w:tc>
      </w:tr>
      <w:tr w:rsidR="002B6DD8" w:rsidRPr="00CD2AC3" w14:paraId="56F3A83B" w14:textId="77777777" w:rsidTr="00E830F4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B926" w14:textId="77777777" w:rsidR="002B6DD8" w:rsidRPr="007447A4" w:rsidRDefault="002B6DD8" w:rsidP="00CD2A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BC5F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72FC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0BBC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EB23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6E43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E44B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1EF6EC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</w:tr>
      <w:tr w:rsidR="002B6DD8" w:rsidRPr="00CD2AC3" w14:paraId="7B3887D4" w14:textId="77777777" w:rsidTr="00E830F4">
        <w:trPr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B9DF" w14:textId="77777777" w:rsidR="002B6DD8" w:rsidRPr="00CD2AC3" w:rsidRDefault="002B6DD8" w:rsidP="00CD2AC3">
            <w:pPr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% of Write Off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8312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01F6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0B97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75CD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FA10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0150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66189" w14:textId="77777777" w:rsidR="002B6DD8" w:rsidRDefault="002B6D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</w:tr>
      <w:tr w:rsidR="002B6DD8" w:rsidRPr="00CD2AC3" w14:paraId="68075A0F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BFA9" w14:textId="77777777" w:rsidR="002B6DD8" w:rsidRPr="00CD2AC3" w:rsidRDefault="002B6DD8" w:rsidP="00CD2AC3">
            <w:pPr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Family 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882BF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CB6C0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6BA3AA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28845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2C543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8178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1A22C" w14:textId="77777777" w:rsidR="002B6DD8" w:rsidRDefault="002B6DD8">
            <w:pPr>
              <w:rPr>
                <w:rFonts w:ascii="Arial" w:hAnsi="Arial" w:cs="Arial"/>
                <w:sz w:val="20"/>
              </w:rPr>
            </w:pPr>
          </w:p>
        </w:tc>
      </w:tr>
      <w:tr w:rsidR="0029203A" w:rsidRPr="00CD2AC3" w14:paraId="4AA16817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6C0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973C4" w14:textId="2D4C43C8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19,563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1552" w14:textId="30851B0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23,475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D304" w14:textId="2F0058F6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27,388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50D54" w14:textId="2D6317B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31,300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D374B" w14:textId="0679ACC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39,125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F01AE" w14:textId="28E46C62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46,950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23FC" w14:textId="5AA972D4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62,600</w:t>
            </w:r>
          </w:p>
        </w:tc>
      </w:tr>
      <w:tr w:rsidR="0029203A" w:rsidRPr="00CD2AC3" w14:paraId="354F6233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29A0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0AED9" w14:textId="72DA2AE5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26,438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09EDC" w14:textId="1662D2A6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B4A91" w14:textId="417DBC40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37,013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8850D" w14:textId="4CCF3284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51E89" w14:textId="62531E9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52,875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14D4D" w14:textId="54BC7B1E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7384" w14:textId="786E4287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84,600</w:t>
            </w:r>
          </w:p>
        </w:tc>
      </w:tr>
      <w:tr w:rsidR="0029203A" w:rsidRPr="00CD2AC3" w14:paraId="5487BDF6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10CD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C4CE3" w14:textId="147F0E5E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E4DB9" w14:textId="47EFCAB7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880F5" w14:textId="2CA0024C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46,638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0D2B" w14:textId="35356707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267A" w14:textId="0B285B15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F9D3" w14:textId="3ABC5E71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79,950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AF5E3" w14:textId="306164F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106,600</w:t>
            </w:r>
          </w:p>
        </w:tc>
      </w:tr>
      <w:tr w:rsidR="0029203A" w:rsidRPr="00CD2AC3" w14:paraId="053A811D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5E8E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B65C5" w14:textId="0C9A3910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C1DE5" w14:textId="74142E75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3A040" w14:textId="5A658A41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56,263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78AB9" w14:textId="34FEF5C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19C04" w14:textId="14CA88A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80,375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B4A39" w14:textId="061A40A5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96,450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B67D0" w14:textId="73D37B9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128,600</w:t>
            </w:r>
          </w:p>
        </w:tc>
      </w:tr>
      <w:tr w:rsidR="0029203A" w:rsidRPr="00CD2AC3" w14:paraId="6C452873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467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7D61C" w14:textId="3BE92C5A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D969C" w14:textId="601A4289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7BF7B" w14:textId="0160F192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65,888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9F3C" w14:textId="0E061E64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9A8F" w14:textId="77A0E318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94,125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C5104" w14:textId="76607D1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112,950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E409" w14:textId="7C0BAB46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150,600</w:t>
            </w:r>
          </w:p>
        </w:tc>
      </w:tr>
      <w:tr w:rsidR="0029203A" w:rsidRPr="00CD2AC3" w14:paraId="076189D5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B54B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0DF47" w14:textId="04819D2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8940" w14:textId="2F45BE21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829A6" w14:textId="724BFDF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75,513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2B780" w14:textId="2CFFBDBD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5615" w14:textId="3AA6D00C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107,875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14064" w14:textId="7CCB5FC7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129,450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01138" w14:textId="57C18E43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172,600</w:t>
            </w:r>
          </w:p>
        </w:tc>
      </w:tr>
      <w:tr w:rsidR="0029203A" w:rsidRPr="00CD2AC3" w14:paraId="5FC24111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66DA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3950F" w14:textId="1A4F82C0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2E73" w14:textId="7EB3B980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4CEFD" w14:textId="6DEAC74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85,138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9840" w14:textId="3B29B00C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EAF02" w14:textId="24DBA98A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CBED0" w14:textId="22005124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145,950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0F84C" w14:textId="01CC56A9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194,600</w:t>
            </w:r>
          </w:p>
        </w:tc>
      </w:tr>
      <w:tr w:rsidR="0029203A" w:rsidRPr="00CD2AC3" w14:paraId="16661485" w14:textId="77777777" w:rsidTr="00E830F4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11A0" w14:textId="77777777" w:rsidR="0029203A" w:rsidRPr="00CD2AC3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C08E8" w14:textId="0C8AD3C8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E87B1" w14:textId="11A92F0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88238" w14:textId="7EE4FD53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94,763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86DEC" w14:textId="2E63602F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108,300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DA677" w14:textId="4B1A655E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135,375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7F1C2" w14:textId="4169CAF9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162,450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260BD" w14:textId="196EC06A" w:rsidR="0029203A" w:rsidRDefault="0029203A" w:rsidP="002920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216,600</w:t>
            </w:r>
          </w:p>
        </w:tc>
      </w:tr>
    </w:tbl>
    <w:p w14:paraId="652DEE55" w14:textId="3B98C093" w:rsidR="00365CB7" w:rsidRPr="006F5F12" w:rsidRDefault="00CD2AC3">
      <w:pPr>
        <w:rPr>
          <w:sz w:val="20"/>
        </w:rPr>
      </w:pPr>
      <w:r>
        <w:rPr>
          <w:b/>
        </w:rPr>
        <w:t xml:space="preserve">                      </w:t>
      </w:r>
      <w:r w:rsidRPr="006F5F12">
        <w:rPr>
          <w:sz w:val="20"/>
        </w:rPr>
        <w:t>Add $</w:t>
      </w:r>
      <w:r w:rsidR="007B75CE">
        <w:rPr>
          <w:sz w:val="20"/>
        </w:rPr>
        <w:t>5,</w:t>
      </w:r>
      <w:r w:rsidR="00AC02F6">
        <w:rPr>
          <w:sz w:val="20"/>
        </w:rPr>
        <w:t>50</w:t>
      </w:r>
      <w:r w:rsidR="007B75CE">
        <w:rPr>
          <w:sz w:val="20"/>
        </w:rPr>
        <w:t>0</w:t>
      </w:r>
      <w:r w:rsidRPr="006F5F12">
        <w:rPr>
          <w:sz w:val="20"/>
        </w:rPr>
        <w:t xml:space="preserve"> for each additional </w:t>
      </w:r>
      <w:r w:rsidR="007B75CE" w:rsidRPr="006F5F12">
        <w:rPr>
          <w:sz w:val="20"/>
        </w:rPr>
        <w:t>member.</w:t>
      </w:r>
    </w:p>
    <w:p w14:paraId="2E1D1FAD" w14:textId="77777777" w:rsidR="00CD2AC3" w:rsidRDefault="00CD2AC3">
      <w:pPr>
        <w:rPr>
          <w:sz w:val="20"/>
        </w:rPr>
      </w:pPr>
    </w:p>
    <w:tbl>
      <w:tblPr>
        <w:tblW w:w="8025" w:type="dxa"/>
        <w:tblInd w:w="93" w:type="dxa"/>
        <w:tblLook w:val="0000" w:firstRow="0" w:lastRow="0" w:firstColumn="0" w:lastColumn="0" w:noHBand="0" w:noVBand="0"/>
      </w:tblPr>
      <w:tblGrid>
        <w:gridCol w:w="1476"/>
        <w:gridCol w:w="879"/>
        <w:gridCol w:w="900"/>
        <w:gridCol w:w="900"/>
        <w:gridCol w:w="990"/>
        <w:gridCol w:w="990"/>
        <w:gridCol w:w="990"/>
        <w:gridCol w:w="900"/>
      </w:tblGrid>
      <w:tr w:rsidR="00CF4B9B" w:rsidRPr="00CD2AC3" w14:paraId="2B091BA7" w14:textId="77777777" w:rsidTr="00E24CF0">
        <w:trPr>
          <w:trHeight w:val="7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FFCC" w14:textId="77777777" w:rsidR="00CF4B9B" w:rsidRPr="00CD2AC3" w:rsidRDefault="00CF4B9B" w:rsidP="00CD2AC3">
            <w:pPr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Patient Responsibility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07AF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7E7E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9146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FAAD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30%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AD4B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40%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E60C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 w:rsidRPr="00CD2AC3"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21EFF" w14:textId="77777777" w:rsidR="00CF4B9B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</w:p>
          <w:p w14:paraId="6FFBDECC" w14:textId="77777777" w:rsidR="00CF4B9B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</w:p>
          <w:p w14:paraId="2C9F20DC" w14:textId="77777777" w:rsidR="00CF4B9B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</w:p>
          <w:p w14:paraId="6FBC6F5C" w14:textId="77777777" w:rsidR="00CF4B9B" w:rsidRPr="00CD2AC3" w:rsidRDefault="00CF4B9B" w:rsidP="00CD2A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60% </w:t>
            </w:r>
          </w:p>
        </w:tc>
      </w:tr>
    </w:tbl>
    <w:p w14:paraId="177699A1" w14:textId="77777777" w:rsidR="00CD2AC3" w:rsidRPr="007447A4" w:rsidRDefault="002B6DD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BF085AA" w14:textId="77777777" w:rsidR="00365CB7" w:rsidRPr="007447A4" w:rsidRDefault="00365CB7">
      <w:pPr>
        <w:rPr>
          <w:b/>
          <w:sz w:val="18"/>
          <w:szCs w:val="18"/>
        </w:rPr>
      </w:pPr>
    </w:p>
    <w:p w14:paraId="15448BE0" w14:textId="77777777" w:rsidR="00562514" w:rsidRPr="00B54D56" w:rsidRDefault="00562514">
      <w:pPr>
        <w:pStyle w:val="BodyText"/>
        <w:rPr>
          <w:b w:val="0"/>
          <w:i w:val="0"/>
          <w:sz w:val="28"/>
          <w:szCs w:val="28"/>
        </w:rPr>
      </w:pPr>
      <w:r w:rsidRPr="00B54D56">
        <w:rPr>
          <w:b w:val="0"/>
          <w:i w:val="0"/>
          <w:sz w:val="28"/>
          <w:szCs w:val="28"/>
        </w:rPr>
        <w:t xml:space="preserve">If you feel you may be eligible, you may request free </w:t>
      </w:r>
      <w:r w:rsidR="00513C17">
        <w:rPr>
          <w:b w:val="0"/>
          <w:i w:val="0"/>
          <w:sz w:val="28"/>
          <w:szCs w:val="28"/>
        </w:rPr>
        <w:t xml:space="preserve">or </w:t>
      </w:r>
      <w:r w:rsidR="00F25366">
        <w:rPr>
          <w:b w:val="0"/>
          <w:i w:val="0"/>
          <w:sz w:val="28"/>
          <w:szCs w:val="28"/>
        </w:rPr>
        <w:t xml:space="preserve">discounted </w:t>
      </w:r>
      <w:r w:rsidRPr="00B54D56">
        <w:rPr>
          <w:b w:val="0"/>
          <w:i w:val="0"/>
          <w:sz w:val="28"/>
          <w:szCs w:val="28"/>
        </w:rPr>
        <w:t xml:space="preserve">services at the Patient </w:t>
      </w:r>
      <w:r w:rsidR="00513C17">
        <w:rPr>
          <w:b w:val="0"/>
          <w:i w:val="0"/>
          <w:sz w:val="28"/>
          <w:szCs w:val="28"/>
        </w:rPr>
        <w:t>Financial Service Office</w:t>
      </w:r>
      <w:r w:rsidRPr="00B54D56">
        <w:rPr>
          <w:b w:val="0"/>
          <w:i w:val="0"/>
          <w:sz w:val="28"/>
          <w:szCs w:val="28"/>
        </w:rPr>
        <w:t>.  Request</w:t>
      </w:r>
      <w:r w:rsidR="00B54D56">
        <w:rPr>
          <w:b w:val="0"/>
          <w:i w:val="0"/>
          <w:sz w:val="28"/>
          <w:szCs w:val="28"/>
        </w:rPr>
        <w:t>s</w:t>
      </w:r>
      <w:r w:rsidRPr="00B54D56">
        <w:rPr>
          <w:b w:val="0"/>
          <w:i w:val="0"/>
          <w:sz w:val="28"/>
          <w:szCs w:val="28"/>
        </w:rPr>
        <w:t xml:space="preserve"> may be made prior to admission, during the stay or at time of discharge</w:t>
      </w:r>
      <w:r w:rsidR="00B54D56">
        <w:rPr>
          <w:b w:val="0"/>
          <w:i w:val="0"/>
          <w:sz w:val="28"/>
          <w:szCs w:val="28"/>
        </w:rPr>
        <w:t xml:space="preserve">. </w:t>
      </w:r>
      <w:r w:rsidRPr="00B54D56">
        <w:rPr>
          <w:b w:val="0"/>
          <w:i w:val="0"/>
          <w:sz w:val="28"/>
          <w:szCs w:val="28"/>
        </w:rPr>
        <w:t xml:space="preserve"> A financial evaluation form and application will be provided for the applicant upon request.  The Hospital will make a final determination of your eligibility for uncompensated services.  </w:t>
      </w:r>
    </w:p>
    <w:p w14:paraId="01B6BDEF" w14:textId="77777777" w:rsidR="00562514" w:rsidRPr="00AA7FF0" w:rsidRDefault="00562514">
      <w:pPr>
        <w:pStyle w:val="BodyText"/>
        <w:rPr>
          <w:b w:val="0"/>
          <w:i w:val="0"/>
          <w:szCs w:val="24"/>
        </w:rPr>
      </w:pPr>
    </w:p>
    <w:p w14:paraId="5AA13E15" w14:textId="72B52C43" w:rsidR="00562514" w:rsidRPr="00B54D56" w:rsidRDefault="00562514">
      <w:pPr>
        <w:pStyle w:val="BodyText"/>
        <w:rPr>
          <w:b w:val="0"/>
          <w:i w:val="0"/>
          <w:sz w:val="28"/>
          <w:szCs w:val="28"/>
        </w:rPr>
      </w:pPr>
      <w:r w:rsidRPr="00B54D56">
        <w:rPr>
          <w:b w:val="0"/>
          <w:i w:val="0"/>
          <w:sz w:val="28"/>
          <w:szCs w:val="28"/>
        </w:rPr>
        <w:t xml:space="preserve">When Third Party coverage is available (Medicare, State, </w:t>
      </w:r>
      <w:r w:rsidR="00963BB7">
        <w:rPr>
          <w:b w:val="0"/>
          <w:i w:val="0"/>
          <w:sz w:val="28"/>
          <w:szCs w:val="28"/>
        </w:rPr>
        <w:t>Medicaid LIA</w:t>
      </w:r>
      <w:r w:rsidRPr="00B54D56">
        <w:rPr>
          <w:b w:val="0"/>
          <w:i w:val="0"/>
          <w:sz w:val="28"/>
          <w:szCs w:val="28"/>
        </w:rPr>
        <w:t xml:space="preserve">, </w:t>
      </w:r>
      <w:r w:rsidR="006F5F12" w:rsidRPr="00B54D56">
        <w:rPr>
          <w:b w:val="0"/>
          <w:i w:val="0"/>
          <w:sz w:val="28"/>
          <w:szCs w:val="28"/>
        </w:rPr>
        <w:t>etc.</w:t>
      </w:r>
      <w:r w:rsidRPr="00B54D56">
        <w:rPr>
          <w:b w:val="0"/>
          <w:i w:val="0"/>
          <w:sz w:val="28"/>
          <w:szCs w:val="28"/>
        </w:rPr>
        <w:t>) all applicable benefits must be applied first.  Patient convenience items such as pr</w:t>
      </w:r>
      <w:r w:rsidR="002470C6" w:rsidRPr="00B54D56">
        <w:rPr>
          <w:b w:val="0"/>
          <w:i w:val="0"/>
          <w:sz w:val="28"/>
          <w:szCs w:val="28"/>
        </w:rPr>
        <w:t>ivate</w:t>
      </w:r>
      <w:r w:rsidRPr="00B54D56">
        <w:rPr>
          <w:b w:val="0"/>
          <w:i w:val="0"/>
          <w:sz w:val="28"/>
          <w:szCs w:val="28"/>
        </w:rPr>
        <w:t xml:space="preserve"> room differentials are not covered.  </w:t>
      </w:r>
    </w:p>
    <w:p w14:paraId="76D797AD" w14:textId="77777777" w:rsidR="00562514" w:rsidRPr="007447A4" w:rsidRDefault="00562514">
      <w:pPr>
        <w:pStyle w:val="BodyText"/>
        <w:rPr>
          <w:b w:val="0"/>
          <w:i w:val="0"/>
          <w:sz w:val="22"/>
          <w:szCs w:val="22"/>
        </w:rPr>
      </w:pPr>
    </w:p>
    <w:p w14:paraId="47E2B5D8" w14:textId="77777777" w:rsidR="00562514" w:rsidRPr="00B54D56" w:rsidRDefault="00562514">
      <w:pPr>
        <w:pStyle w:val="BodyText"/>
        <w:rPr>
          <w:b w:val="0"/>
          <w:i w:val="0"/>
          <w:sz w:val="28"/>
          <w:szCs w:val="28"/>
        </w:rPr>
      </w:pPr>
      <w:r w:rsidRPr="00B54D56">
        <w:rPr>
          <w:b w:val="0"/>
          <w:i w:val="0"/>
          <w:sz w:val="28"/>
          <w:szCs w:val="28"/>
        </w:rPr>
        <w:t xml:space="preserve">Refusal to take reasonable actions necessary to obtain these available benefits can exclude the granting of uncompensated services.  </w:t>
      </w:r>
    </w:p>
    <w:p w14:paraId="5F66EBD2" w14:textId="77777777" w:rsidR="00562514" w:rsidRPr="007447A4" w:rsidRDefault="00562514">
      <w:pPr>
        <w:pStyle w:val="BodyText"/>
        <w:rPr>
          <w:i w:val="0"/>
          <w:sz w:val="22"/>
          <w:szCs w:val="22"/>
        </w:rPr>
      </w:pPr>
    </w:p>
    <w:p w14:paraId="0A71B4A7" w14:textId="77777777" w:rsidR="00365CB7" w:rsidRDefault="00562514" w:rsidP="00562514">
      <w:pPr>
        <w:pStyle w:val="BodyText"/>
        <w:rPr>
          <w:b w:val="0"/>
          <w:i w:val="0"/>
        </w:rPr>
      </w:pPr>
      <w:r w:rsidRPr="00B54D56">
        <w:rPr>
          <w:b w:val="0"/>
          <w:i w:val="0"/>
        </w:rPr>
        <w:t>Source – Federal Register Income Poverty Guidelines</w:t>
      </w:r>
    </w:p>
    <w:sectPr w:rsidR="00365CB7" w:rsidSect="003E282D">
      <w:footerReference w:type="default" r:id="rId8"/>
      <w:pgSz w:w="12240" w:h="15840"/>
      <w:pgMar w:top="864" w:right="576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37E4" w14:textId="77777777" w:rsidR="003E282D" w:rsidRDefault="003E282D">
      <w:r>
        <w:separator/>
      </w:r>
    </w:p>
  </w:endnote>
  <w:endnote w:type="continuationSeparator" w:id="0">
    <w:p w14:paraId="68575F74" w14:textId="77777777" w:rsidR="003E282D" w:rsidRDefault="003E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E234" w14:textId="458ABD32" w:rsidR="0071097F" w:rsidRPr="00AA7FF0" w:rsidRDefault="0071097F">
    <w:pPr>
      <w:pStyle w:val="Footer"/>
      <w:rPr>
        <w:sz w:val="18"/>
        <w:szCs w:val="18"/>
      </w:rPr>
    </w:pPr>
    <w:r w:rsidRPr="00AA7FF0">
      <w:rPr>
        <w:sz w:val="18"/>
        <w:szCs w:val="18"/>
      </w:rPr>
      <w:t xml:space="preserve">Revised </w:t>
    </w:r>
    <w:r w:rsidR="006F5F12">
      <w:rPr>
        <w:sz w:val="18"/>
        <w:szCs w:val="18"/>
      </w:rPr>
      <w:t>1</w:t>
    </w:r>
    <w:r w:rsidRPr="00AA7FF0">
      <w:rPr>
        <w:sz w:val="18"/>
        <w:szCs w:val="18"/>
      </w:rPr>
      <w:t>/</w:t>
    </w:r>
    <w:r w:rsidR="006F5F12">
      <w:rPr>
        <w:sz w:val="18"/>
        <w:szCs w:val="18"/>
      </w:rPr>
      <w:t>2</w:t>
    </w:r>
    <w:r w:rsidR="00825353">
      <w:rPr>
        <w:sz w:val="18"/>
        <w:szCs w:val="18"/>
      </w:rPr>
      <w:t>8</w:t>
    </w:r>
    <w:r w:rsidRPr="00AA7FF0">
      <w:rPr>
        <w:sz w:val="18"/>
        <w:szCs w:val="18"/>
      </w:rPr>
      <w:t>/20</w:t>
    </w:r>
    <w:r w:rsidR="00B9520A">
      <w:rPr>
        <w:sz w:val="18"/>
        <w:szCs w:val="18"/>
      </w:rPr>
      <w:t>2</w:t>
    </w:r>
    <w:r w:rsidR="0082535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8603" w14:textId="77777777" w:rsidR="003E282D" w:rsidRDefault="003E282D">
      <w:r>
        <w:separator/>
      </w:r>
    </w:p>
  </w:footnote>
  <w:footnote w:type="continuationSeparator" w:id="0">
    <w:p w14:paraId="54C858AF" w14:textId="77777777" w:rsidR="003E282D" w:rsidRDefault="003E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31DB4"/>
    <w:multiLevelType w:val="singleLevel"/>
    <w:tmpl w:val="6F84BD1C"/>
    <w:lvl w:ilvl="0">
      <w:start w:val="7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</w:abstractNum>
  <w:num w:numId="1" w16cid:durableId="4775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5B"/>
    <w:rsid w:val="000151DE"/>
    <w:rsid w:val="00084900"/>
    <w:rsid w:val="000F27B3"/>
    <w:rsid w:val="0013065E"/>
    <w:rsid w:val="00196D88"/>
    <w:rsid w:val="001B5C79"/>
    <w:rsid w:val="001C755B"/>
    <w:rsid w:val="001D0F55"/>
    <w:rsid w:val="001D5DA1"/>
    <w:rsid w:val="00221192"/>
    <w:rsid w:val="002470C6"/>
    <w:rsid w:val="002471B4"/>
    <w:rsid w:val="0029203A"/>
    <w:rsid w:val="002B6DD8"/>
    <w:rsid w:val="002E444A"/>
    <w:rsid w:val="002E4CB4"/>
    <w:rsid w:val="002F0B66"/>
    <w:rsid w:val="00350114"/>
    <w:rsid w:val="00357CB4"/>
    <w:rsid w:val="00365CB7"/>
    <w:rsid w:val="003B3DBF"/>
    <w:rsid w:val="003E1D9E"/>
    <w:rsid w:val="003E282D"/>
    <w:rsid w:val="003F03DF"/>
    <w:rsid w:val="003F61F3"/>
    <w:rsid w:val="0045141A"/>
    <w:rsid w:val="0049012B"/>
    <w:rsid w:val="004A7319"/>
    <w:rsid w:val="004E7E5F"/>
    <w:rsid w:val="00513C17"/>
    <w:rsid w:val="00522A35"/>
    <w:rsid w:val="005612D6"/>
    <w:rsid w:val="005623DC"/>
    <w:rsid w:val="00562514"/>
    <w:rsid w:val="005A3E41"/>
    <w:rsid w:val="005E77BF"/>
    <w:rsid w:val="00620548"/>
    <w:rsid w:val="006F5F12"/>
    <w:rsid w:val="0071097F"/>
    <w:rsid w:val="0072114A"/>
    <w:rsid w:val="00740204"/>
    <w:rsid w:val="007417F3"/>
    <w:rsid w:val="007447A4"/>
    <w:rsid w:val="007650FB"/>
    <w:rsid w:val="007B75CE"/>
    <w:rsid w:val="00825353"/>
    <w:rsid w:val="00867580"/>
    <w:rsid w:val="00892259"/>
    <w:rsid w:val="008E15DF"/>
    <w:rsid w:val="008F4D6E"/>
    <w:rsid w:val="0090426F"/>
    <w:rsid w:val="00963BB7"/>
    <w:rsid w:val="009B1AAC"/>
    <w:rsid w:val="009D71B7"/>
    <w:rsid w:val="00A225D3"/>
    <w:rsid w:val="00A61A7B"/>
    <w:rsid w:val="00A6440C"/>
    <w:rsid w:val="00A767B2"/>
    <w:rsid w:val="00AA7FF0"/>
    <w:rsid w:val="00AC02F6"/>
    <w:rsid w:val="00AD2862"/>
    <w:rsid w:val="00B41123"/>
    <w:rsid w:val="00B54D56"/>
    <w:rsid w:val="00B67EAB"/>
    <w:rsid w:val="00B9520A"/>
    <w:rsid w:val="00BD1F1F"/>
    <w:rsid w:val="00BD60CF"/>
    <w:rsid w:val="00CA567F"/>
    <w:rsid w:val="00CD2AC3"/>
    <w:rsid w:val="00CF4B9B"/>
    <w:rsid w:val="00CF65EB"/>
    <w:rsid w:val="00D740F7"/>
    <w:rsid w:val="00DF736A"/>
    <w:rsid w:val="00E24CF0"/>
    <w:rsid w:val="00E271D6"/>
    <w:rsid w:val="00E44250"/>
    <w:rsid w:val="00E67D88"/>
    <w:rsid w:val="00E830F4"/>
    <w:rsid w:val="00EE2114"/>
    <w:rsid w:val="00EE751B"/>
    <w:rsid w:val="00F10D85"/>
    <w:rsid w:val="00F250C4"/>
    <w:rsid w:val="00F25366"/>
    <w:rsid w:val="00F862EA"/>
    <w:rsid w:val="00FB66E0"/>
    <w:rsid w:val="00FE5D36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20DEE"/>
  <w15:docId w15:val="{F688A4FB-FC88-46A6-A69D-BA264E5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2D6"/>
    <w:rPr>
      <w:sz w:val="24"/>
    </w:rPr>
  </w:style>
  <w:style w:type="paragraph" w:styleId="Heading1">
    <w:name w:val="heading 1"/>
    <w:basedOn w:val="Normal"/>
    <w:next w:val="Normal"/>
    <w:qFormat/>
    <w:rsid w:val="005612D6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2D6"/>
    <w:rPr>
      <w:b/>
      <w:i/>
    </w:rPr>
  </w:style>
  <w:style w:type="paragraph" w:styleId="BalloonText">
    <w:name w:val="Balloon Text"/>
    <w:basedOn w:val="Normal"/>
    <w:semiHidden/>
    <w:rsid w:val="00EE7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4D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D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AC28-10B0-43E8-BA55-63DFDA7A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AVAILABILITY FOR UNCOMPENSATED CARE</vt:lpstr>
    </vt:vector>
  </TitlesOfParts>
  <Company>E.C.H.N.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AVAILABILITY FOR UNCOMPENSATED CARE</dc:title>
  <dc:creator>DONNA LEE FECKO</dc:creator>
  <cp:lastModifiedBy>Bagnall, Donna S</cp:lastModifiedBy>
  <cp:revision>2</cp:revision>
  <cp:lastPrinted>2016-02-01T16:31:00Z</cp:lastPrinted>
  <dcterms:created xsi:type="dcterms:W3CDTF">2025-02-04T15:04:00Z</dcterms:created>
  <dcterms:modified xsi:type="dcterms:W3CDTF">2025-02-04T15:04:00Z</dcterms:modified>
</cp:coreProperties>
</file>